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 2</w:t>
      </w:r>
      <w:r w:rsidR="00B22ED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6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B2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метизов</w:t>
      </w:r>
      <w:r w:rsidR="00151AAE" w:rsidRPr="0015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(номер закупки – 2</w:t>
      </w:r>
      <w:r w:rsidR="00B22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1"/>
        <w:gridCol w:w="2905"/>
        <w:gridCol w:w="1332"/>
        <w:gridCol w:w="2104"/>
        <w:gridCol w:w="1292"/>
        <w:gridCol w:w="1397"/>
      </w:tblGrid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закупки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hAnsi="Times New Roman" w:cs="Times New Roman"/>
              </w:rPr>
              <w:t>Поставка метизов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hAnsi="Times New Roman" w:cs="Times New Roman"/>
              </w:rPr>
              <w:t>ГУП РК «Крымтеплокоммунэнерго»</w:t>
            </w:r>
          </w:p>
        </w:tc>
      </w:tr>
      <w:tr w:rsidR="00B22ED7" w:rsidRPr="00B22ED7" w:rsidTr="00B22ED7">
        <w:trPr>
          <w:trHeight w:val="278"/>
        </w:trPr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Непосредственное описание товаров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Колич</w:t>
            </w:r>
            <w:proofErr w:type="spellEnd"/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22ED7" w:rsidRPr="00B22ED7" w:rsidTr="00B22ED7">
        <w:trPr>
          <w:trHeight w:hRule="exact" w:val="12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М12-6g х 50.58 (S19) ГОСТ 7798-70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М12-6g х 50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19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</w:tr>
      <w:tr w:rsidR="00B22ED7" w:rsidRPr="00B22ED7" w:rsidTr="00C77087">
        <w:trPr>
          <w:trHeight w:val="5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М16-6g х 60.58 (S24) ГОСТ 7798-70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М16-6g х 60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24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426,00</w:t>
            </w:r>
          </w:p>
        </w:tc>
      </w:tr>
      <w:tr w:rsidR="00B22ED7" w:rsidRPr="00B22ED7" w:rsidTr="00C77087">
        <w:trPr>
          <w:trHeight w:val="6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М16-6g х 65.58 (S24) ГОСТ 7798-70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М16-6g х 65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24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М16-6g х 70.58 (S24) ГОСТ 7798-70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М16-6g х 70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24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М20-6g х 75.58 (S30) ГОСТ 7798-70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М20-6g х 75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30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М20-6g х 80.58 (S30) ГОСТ 7798-70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М20-6g х 80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30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1382,00</w:t>
            </w:r>
          </w:p>
        </w:tc>
      </w:tr>
      <w:tr w:rsidR="00B22ED7" w:rsidRPr="00B22ED7" w:rsidTr="00C77087">
        <w:trPr>
          <w:trHeight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М24-6g х 90.58 (S36) ГОСТ 7798-70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М24-6g х 90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36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М24-6g х 100.58 (S36) </w:t>
            </w: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ГОСТ 7798-70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М24-6g х 100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Минимальный класс прочности </w:t>
            </w: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36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lastRenderedPageBreak/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М27-6g х 100.58 (S41) ГОСТ 7798-70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М27-6g х 100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5.8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41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шестигранная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М12-6H.5 (S19)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М12-6Н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19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шестигранная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М16-6H.5 (S24)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М16-6Н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24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шестигранная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М20-6H.5 (S30)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М20-6Н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30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шестигранная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М24-6H.5 (S36)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М24-6Н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36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шестигранная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М27-6H.5 (S41)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 B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М27-6Н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класс прочности 5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под ключ 41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покрытия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А.12.01. ГОСТ 11371-78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</w:t>
            </w:r>
            <w:proofErr w:type="gramStart"/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А.12.01.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А.16.01. ГОСТ 11371-78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</w:t>
            </w:r>
            <w:proofErr w:type="gramStart"/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А.16.01.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А.20.01. ГОСТ 11371-78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</w:t>
            </w:r>
            <w:proofErr w:type="gramStart"/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А.20.01.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А.24.01. ГОСТ 11371-78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</w:t>
            </w:r>
            <w:proofErr w:type="gramStart"/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А.24.01.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</w:tr>
      <w:tr w:rsidR="00B22ED7" w:rsidRPr="00B22ED7" w:rsidTr="00C77087">
        <w:trPr>
          <w:trHeight w:val="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</w:t>
            </w:r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А.27.01. ГОСТ 11371-78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точности</w:t>
            </w:r>
            <w:proofErr w:type="gramStart"/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А.27.01.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2ED7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ED7" w:rsidRPr="00B22ED7" w:rsidRDefault="00B22ED7" w:rsidP="00C77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hAnsi="Times New Roman" w:cs="Times New Roman"/>
              </w:rPr>
              <w:t>Товар должен быть новым, ранее не использованным, не эксплуатируемым, произведенным не ранее 2018 года.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hAnsi="Times New Roman" w:cs="Times New Roman"/>
              </w:rPr>
              <w:t>Не предъявляется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22ED7">
              <w:rPr>
                <w:rFonts w:ascii="Times New Roman" w:hAnsi="Times New Roman" w:cs="Times New Roman"/>
              </w:rPr>
              <w:t>Согласно ГОСТа</w:t>
            </w:r>
            <w:proofErr w:type="gramEnd"/>
            <w:r w:rsidRPr="00B22ED7">
              <w:rPr>
                <w:rFonts w:ascii="Times New Roman" w:hAnsi="Times New Roman" w:cs="Times New Roman"/>
              </w:rPr>
              <w:t>.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Требования к обслуживанию товара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hAnsi="Times New Roman" w:cs="Times New Roman"/>
              </w:rPr>
              <w:t>Не предъявляется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гарантийному сроку товара, работы, услуги и (или) объему предоставления гарантий их качества, к гарантийному обслуживанию товара (срок, место </w:t>
            </w: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предоставления)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hAnsi="Times New Roman" w:cs="Times New Roman"/>
              </w:rPr>
              <w:lastRenderedPageBreak/>
              <w:t>Гарантийный срок должен быть не менее 12 (двенадцати) месяцев.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Требования к проведению гос. поверки средств измерений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hAnsi="Times New Roman" w:cs="Times New Roman"/>
              </w:rPr>
              <w:t>Не предъявляется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качеству, безопасности 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/>
              <w:ind w:left="92" w:hanging="18"/>
              <w:jc w:val="both"/>
              <w:rPr>
                <w:rFonts w:ascii="Times New Roman" w:hAnsi="Times New Roman" w:cs="Times New Roman"/>
              </w:rPr>
            </w:pPr>
            <w:r w:rsidRPr="00B22ED7">
              <w:rPr>
                <w:rFonts w:ascii="Times New Roman" w:hAnsi="Times New Roman" w:cs="Times New Roman"/>
              </w:rPr>
              <w:t>Товар должен соответствовать указанному ГОСТу</w:t>
            </w:r>
            <w:r w:rsidRPr="00B22ED7">
              <w:rPr>
                <w:rFonts w:ascii="Times New Roman" w:hAnsi="Times New Roman" w:cs="Times New Roman"/>
                <w:color w:val="000000"/>
              </w:rPr>
              <w:t>.</w:t>
            </w:r>
            <w:r w:rsidRPr="00B22E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</w:rPr>
            </w:pPr>
            <w:r w:rsidRPr="00B22ED7">
              <w:rPr>
                <w:rFonts w:ascii="Times New Roman" w:hAnsi="Times New Roman" w:cs="Times New Roman"/>
              </w:rPr>
              <w:t>Поставляемый товар должен сопровождаться документацией, подтверждающей качество (паспорт/сертификат)</w:t>
            </w:r>
            <w:proofErr w:type="gramStart"/>
            <w:r w:rsidRPr="00B22ED7">
              <w:rPr>
                <w:rFonts w:ascii="Times New Roman" w:hAnsi="Times New Roman" w:cs="Times New Roman"/>
              </w:rPr>
              <w:t>.П</w:t>
            </w:r>
            <w:proofErr w:type="gramEnd"/>
            <w:r w:rsidRPr="00B22ED7">
              <w:rPr>
                <w:rFonts w:ascii="Times New Roman" w:hAnsi="Times New Roman" w:cs="Times New Roman"/>
              </w:rPr>
              <w:t>оставляемый товар должен сопровождаться документацией: товарная накладная формы ТОРГ 12, транспортная или товарно-транспортная накладная, счет на оплату и  счет-фактура (если Поставщик является плательщиком НДС), в соответствии с действующим законодательством Российской Федерации.</w:t>
            </w:r>
          </w:p>
        </w:tc>
      </w:tr>
      <w:tr w:rsidR="00B22ED7" w:rsidRPr="00B22ED7" w:rsidTr="00C77087"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ED7" w:rsidRPr="00B22ED7" w:rsidRDefault="00B22ED7" w:rsidP="00B22ED7">
            <w:pPr>
              <w:pStyle w:val="af1"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B22ED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количеству, периодичности, сроку и месту поставок </w:t>
            </w:r>
          </w:p>
          <w:p w:rsidR="00B22ED7" w:rsidRPr="00B22ED7" w:rsidRDefault="00B22ED7" w:rsidP="00C77087">
            <w:pPr>
              <w:tabs>
                <w:tab w:val="left" w:pos="360"/>
                <w:tab w:val="num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7" w:rsidRPr="00B22ED7" w:rsidRDefault="00B22ED7" w:rsidP="00C77087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22ED7">
              <w:rPr>
                <w:rFonts w:ascii="Times New Roman" w:hAnsi="Times New Roman" w:cs="Times New Roman"/>
              </w:rPr>
              <w:t>Поставка Товара осуществляется силами и средствами Поставщика по адресу: Республика Крым, г. Симферополь, ул. Узловая/пер. Пищевой, 5/5.</w:t>
            </w:r>
          </w:p>
          <w:p w:rsidR="00B22ED7" w:rsidRPr="00B22ED7" w:rsidRDefault="00B22ED7" w:rsidP="00C77087">
            <w:pPr>
              <w:tabs>
                <w:tab w:val="left" w:pos="360"/>
              </w:tabs>
              <w:spacing w:after="0"/>
              <w:ind w:firstLine="602"/>
              <w:jc w:val="both"/>
              <w:rPr>
                <w:rFonts w:ascii="Times New Roman" w:hAnsi="Times New Roman" w:cs="Times New Roman"/>
              </w:rPr>
            </w:pPr>
            <w:r w:rsidRPr="00B22ED7">
              <w:rPr>
                <w:rFonts w:ascii="Times New Roman" w:hAnsi="Times New Roman" w:cs="Times New Roman"/>
              </w:rPr>
              <w:t xml:space="preserve">Доставка Товара до места передачи Товара производится силами и средствами Поставщика. Поставка Товара осуществляется </w:t>
            </w:r>
            <w:proofErr w:type="spellStart"/>
            <w:r w:rsidRPr="00B22ED7">
              <w:rPr>
                <w:rFonts w:ascii="Times New Roman" w:hAnsi="Times New Roman" w:cs="Times New Roman"/>
              </w:rPr>
              <w:t>единоразово</w:t>
            </w:r>
            <w:proofErr w:type="spellEnd"/>
            <w:r w:rsidRPr="00B22ED7"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 w:rsidRPr="00B22ED7">
              <w:rPr>
                <w:rFonts w:ascii="Times New Roman" w:hAnsi="Times New Roman" w:cs="Times New Roman"/>
              </w:rPr>
              <w:t>и</w:t>
            </w:r>
            <w:proofErr w:type="gramEnd"/>
            <w:r w:rsidRPr="00B22ED7">
              <w:rPr>
                <w:rFonts w:ascii="Times New Roman" w:hAnsi="Times New Roman" w:cs="Times New Roman"/>
              </w:rPr>
              <w:t xml:space="preserve"> от 5 до 20 календарных дней с момента подписания договора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8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64" w:rsidRDefault="00A93264" w:rsidP="00AD7117">
      <w:pPr>
        <w:spacing w:after="0" w:line="240" w:lineRule="auto"/>
      </w:pPr>
      <w:r>
        <w:separator/>
      </w:r>
    </w:p>
  </w:endnote>
  <w:endnote w:type="continuationSeparator" w:id="0">
    <w:p w:rsidR="00A93264" w:rsidRDefault="00A93264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64" w:rsidRDefault="00A9326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25B48">
      <w:rPr>
        <w:noProof/>
      </w:rPr>
      <w:t>3</w:t>
    </w:r>
    <w:r>
      <w:fldChar w:fldCharType="end"/>
    </w:r>
  </w:p>
  <w:p w:rsidR="00A93264" w:rsidRDefault="00A932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64" w:rsidRDefault="00A93264" w:rsidP="00AD7117">
      <w:pPr>
        <w:spacing w:after="0" w:line="240" w:lineRule="auto"/>
      </w:pPr>
      <w:r>
        <w:separator/>
      </w:r>
    </w:p>
  </w:footnote>
  <w:footnote w:type="continuationSeparator" w:id="0">
    <w:p w:rsidR="00A93264" w:rsidRDefault="00A93264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A3D6C"/>
    <w:rsid w:val="006B1463"/>
    <w:rsid w:val="006C1C3C"/>
    <w:rsid w:val="0074706A"/>
    <w:rsid w:val="007B4440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8280A"/>
    <w:rsid w:val="009833CB"/>
    <w:rsid w:val="009959C6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2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11</cp:revision>
  <cp:lastPrinted>2018-09-12T10:39:00Z</cp:lastPrinted>
  <dcterms:created xsi:type="dcterms:W3CDTF">2018-09-25T11:56:00Z</dcterms:created>
  <dcterms:modified xsi:type="dcterms:W3CDTF">2018-09-28T10:46:00Z</dcterms:modified>
</cp:coreProperties>
</file>